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20" w:rsidRDefault="00A21720" w:rsidP="00A21720">
      <w:pPr>
        <w:textAlignment w:val="baseline"/>
        <w:rPr>
          <w:rFonts w:ascii="Segoe UI" w:hAnsi="Segoe UI" w:cs="Segoe UI"/>
          <w:sz w:val="12"/>
          <w:szCs w:val="12"/>
          <w:lang w:val="en-US"/>
        </w:rPr>
      </w:pPr>
      <w:r>
        <w:rPr>
          <w:rFonts w:ascii="Calibri" w:hAnsi="Calibri"/>
          <w:sz w:val="22"/>
          <w:szCs w:val="22"/>
          <w:lang w:val="en-US"/>
        </w:rPr>
        <w:t>Thank you for your enquiry with regard to call outs for Shropshire Fire and Rescue Service to assist bariatric people in the last 4 financial years. </w:t>
      </w:r>
    </w:p>
    <w:p w:rsidR="00A21720" w:rsidRDefault="00A21720" w:rsidP="00A21720">
      <w:pPr>
        <w:textAlignment w:val="baseline"/>
        <w:rPr>
          <w:rFonts w:ascii="Calibri" w:hAnsi="Calibri"/>
          <w:sz w:val="22"/>
          <w:szCs w:val="22"/>
          <w:lang w:val="en-US"/>
        </w:rPr>
      </w:pPr>
      <w:r>
        <w:rPr>
          <w:rFonts w:ascii="Calibri" w:hAnsi="Calibri"/>
          <w:sz w:val="22"/>
          <w:szCs w:val="22"/>
          <w:lang w:val="en-US"/>
        </w:rPr>
        <w:t>Please find below the total number of times in each year SFRS were called out.  Indicative costs based upon the number of crews attending and the length of time each crew were present have been calculated using our current Special Charges.  Please follow the link to view our special charges </w:t>
      </w:r>
      <w:hyperlink r:id="rId4" w:history="1">
        <w:r>
          <w:rPr>
            <w:rStyle w:val="Hyperlink"/>
            <w:rFonts w:ascii="Calibri" w:hAnsi="Calibri" w:cs="Segoe UI"/>
            <w:sz w:val="22"/>
            <w:szCs w:val="22"/>
            <w:lang w:val="en-US"/>
          </w:rPr>
          <w:t>https://www.shropshirefire.gov.uk/sites/default/files/14-ann-review-of-charges-for-special-services-16-17.pdf</w:t>
        </w:r>
      </w:hyperlink>
      <w:r>
        <w:rPr>
          <w:rFonts w:ascii="Calibri" w:hAnsi="Calibri"/>
          <w:sz w:val="22"/>
          <w:szCs w:val="22"/>
          <w:lang w:val="en-US"/>
        </w:rPr>
        <w:t>  </w:t>
      </w:r>
    </w:p>
    <w:p w:rsidR="00A21720" w:rsidRDefault="00A21720" w:rsidP="00A21720">
      <w:pPr>
        <w:textAlignment w:val="baseline"/>
        <w:rPr>
          <w:rFonts w:ascii="Segoe UI" w:hAnsi="Segoe UI" w:cs="Segoe UI"/>
          <w:sz w:val="12"/>
          <w:szCs w:val="12"/>
          <w:lang w:val="en-US"/>
        </w:rPr>
      </w:pPr>
    </w:p>
    <w:tbl>
      <w:tblPr>
        <w:tblW w:w="16435" w:type="dxa"/>
        <w:tblCellMar>
          <w:left w:w="0" w:type="dxa"/>
          <w:right w:w="0" w:type="dxa"/>
        </w:tblCellMar>
        <w:tblLook w:val="04A0" w:firstRow="1" w:lastRow="0" w:firstColumn="1" w:lastColumn="0" w:noHBand="0" w:noVBand="1"/>
      </w:tblPr>
      <w:tblGrid>
        <w:gridCol w:w="2119"/>
        <w:gridCol w:w="2126"/>
        <w:gridCol w:w="3338"/>
        <w:gridCol w:w="4883"/>
        <w:gridCol w:w="3969"/>
      </w:tblGrid>
      <w:tr w:rsidR="00A21720" w:rsidTr="00A21720">
        <w:tc>
          <w:tcPr>
            <w:tcW w:w="2119" w:type="dxa"/>
            <w:tcBorders>
              <w:top w:val="single" w:sz="8" w:space="0" w:color="BDD6EE"/>
              <w:left w:val="single" w:sz="8" w:space="0" w:color="BDD6EE"/>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 </w:t>
            </w:r>
          </w:p>
        </w:tc>
        <w:tc>
          <w:tcPr>
            <w:tcW w:w="2126" w:type="dxa"/>
            <w:tcBorders>
              <w:top w:val="single" w:sz="8" w:space="0" w:color="BDD6EE"/>
              <w:left w:val="nil"/>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2012/2013 </w:t>
            </w:r>
          </w:p>
        </w:tc>
        <w:tc>
          <w:tcPr>
            <w:tcW w:w="3338" w:type="dxa"/>
            <w:tcBorders>
              <w:top w:val="single" w:sz="8" w:space="0" w:color="BDD6EE"/>
              <w:left w:val="nil"/>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2013/2014 </w:t>
            </w:r>
          </w:p>
        </w:tc>
        <w:tc>
          <w:tcPr>
            <w:tcW w:w="4883" w:type="dxa"/>
            <w:tcBorders>
              <w:top w:val="single" w:sz="8" w:space="0" w:color="BDD6EE"/>
              <w:left w:val="nil"/>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2014/2015 </w:t>
            </w:r>
          </w:p>
        </w:tc>
        <w:tc>
          <w:tcPr>
            <w:tcW w:w="3969" w:type="dxa"/>
            <w:tcBorders>
              <w:top w:val="single" w:sz="8" w:space="0" w:color="BDD6EE"/>
              <w:left w:val="nil"/>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2015/2016 </w:t>
            </w:r>
          </w:p>
        </w:tc>
      </w:tr>
      <w:tr w:rsidR="00A21720" w:rsidTr="00A21720">
        <w:tc>
          <w:tcPr>
            <w:tcW w:w="2119" w:type="dxa"/>
            <w:tcBorders>
              <w:top w:val="nil"/>
              <w:left w:val="single" w:sz="8" w:space="0" w:color="BDD6EE"/>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Total number of calls requesting assistance for a bariatric person </w:t>
            </w:r>
          </w:p>
        </w:tc>
        <w:tc>
          <w:tcPr>
            <w:tcW w:w="2126"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2 </w:t>
            </w:r>
          </w:p>
        </w:tc>
        <w:tc>
          <w:tcPr>
            <w:tcW w:w="3338"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4 </w:t>
            </w:r>
          </w:p>
        </w:tc>
        <w:tc>
          <w:tcPr>
            <w:tcW w:w="4883"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2 </w:t>
            </w:r>
          </w:p>
        </w:tc>
        <w:tc>
          <w:tcPr>
            <w:tcW w:w="3969"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1 </w:t>
            </w:r>
          </w:p>
        </w:tc>
      </w:tr>
      <w:tr w:rsidR="00A21720" w:rsidTr="00A21720">
        <w:tc>
          <w:tcPr>
            <w:tcW w:w="2119" w:type="dxa"/>
            <w:tcBorders>
              <w:top w:val="nil"/>
              <w:left w:val="single" w:sz="8" w:space="0" w:color="BDD6EE"/>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Total cost of responding to calls to assist bariatric people </w:t>
            </w:r>
          </w:p>
        </w:tc>
        <w:tc>
          <w:tcPr>
            <w:tcW w:w="2126"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 £1,137.12 (based upon 1 appliance attending one incident for 1 hour and 3 appliances attending one incident for 1 hour) </w:t>
            </w:r>
          </w:p>
        </w:tc>
        <w:tc>
          <w:tcPr>
            <w:tcW w:w="3338"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 £1,137.12 (based upon 1 appliance attending each incident for 1 hour) </w:t>
            </w:r>
          </w:p>
        </w:tc>
        <w:tc>
          <w:tcPr>
            <w:tcW w:w="4883"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 £852.84 (based upon 1 appliance attending one incident for 1 hour and 2 appliances attending one incident for 1 hour) </w:t>
            </w:r>
          </w:p>
        </w:tc>
        <w:tc>
          <w:tcPr>
            <w:tcW w:w="3969"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 £852.84 (based upon 3 appliances attending one incident) </w:t>
            </w:r>
          </w:p>
        </w:tc>
      </w:tr>
    </w:tbl>
    <w:p w:rsidR="00A21720" w:rsidRDefault="00A21720" w:rsidP="00A21720">
      <w:pPr>
        <w:textAlignment w:val="baseline"/>
        <w:rPr>
          <w:rFonts w:ascii="Segoe UI" w:hAnsi="Segoe UI" w:cs="Segoe UI"/>
          <w:sz w:val="12"/>
          <w:szCs w:val="12"/>
          <w:lang w:val="en-US"/>
        </w:rPr>
      </w:pPr>
      <w:r>
        <w:rPr>
          <w:rFonts w:ascii="Calibri" w:hAnsi="Calibri"/>
          <w:sz w:val="22"/>
          <w:szCs w:val="22"/>
          <w:lang w:val="en-US"/>
        </w:rPr>
        <w:t> </w:t>
      </w:r>
    </w:p>
    <w:p w:rsidR="00A21720" w:rsidRDefault="00A21720" w:rsidP="00A21720">
      <w:pPr>
        <w:textAlignment w:val="baseline"/>
        <w:rPr>
          <w:rFonts w:ascii="Segoe UI" w:hAnsi="Segoe UI" w:cs="Segoe UI"/>
          <w:sz w:val="12"/>
          <w:szCs w:val="12"/>
          <w:lang w:val="en-US"/>
        </w:rPr>
      </w:pPr>
      <w:r>
        <w:rPr>
          <w:rFonts w:ascii="Calibri" w:hAnsi="Calibri"/>
          <w:sz w:val="22"/>
          <w:szCs w:val="22"/>
          <w:lang w:val="en-US"/>
        </w:rPr>
        <w:t>Please see below details of the incident recorded in 2015/16  </w:t>
      </w:r>
    </w:p>
    <w:tbl>
      <w:tblPr>
        <w:tblW w:w="7647" w:type="dxa"/>
        <w:tblCellMar>
          <w:left w:w="0" w:type="dxa"/>
          <w:right w:w="0" w:type="dxa"/>
        </w:tblCellMar>
        <w:tblLook w:val="04A0" w:firstRow="1" w:lastRow="0" w:firstColumn="1" w:lastColumn="0" w:noHBand="0" w:noVBand="1"/>
      </w:tblPr>
      <w:tblGrid>
        <w:gridCol w:w="2119"/>
        <w:gridCol w:w="2126"/>
        <w:gridCol w:w="3402"/>
      </w:tblGrid>
      <w:tr w:rsidR="00A21720" w:rsidTr="00A21720">
        <w:tc>
          <w:tcPr>
            <w:tcW w:w="2119" w:type="dxa"/>
            <w:tcBorders>
              <w:top w:val="single" w:sz="8" w:space="0" w:color="BDD6EE"/>
              <w:left w:val="single" w:sz="8" w:space="0" w:color="BDD6EE"/>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description </w:t>
            </w:r>
          </w:p>
        </w:tc>
        <w:tc>
          <w:tcPr>
            <w:tcW w:w="2126" w:type="dxa"/>
            <w:tcBorders>
              <w:top w:val="single" w:sz="8" w:space="0" w:color="BDD6EE"/>
              <w:left w:val="nil"/>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timestamp </w:t>
            </w:r>
          </w:p>
        </w:tc>
        <w:tc>
          <w:tcPr>
            <w:tcW w:w="3402" w:type="dxa"/>
            <w:tcBorders>
              <w:top w:val="single" w:sz="8" w:space="0" w:color="BDD6EE"/>
              <w:left w:val="nil"/>
              <w:bottom w:val="single" w:sz="12" w:space="0" w:color="9CC2E5"/>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Number of appliances </w:t>
            </w:r>
          </w:p>
        </w:tc>
      </w:tr>
      <w:tr w:rsidR="00A21720" w:rsidTr="00A21720">
        <w:tc>
          <w:tcPr>
            <w:tcW w:w="2119" w:type="dxa"/>
            <w:tcBorders>
              <w:top w:val="nil"/>
              <w:left w:val="single" w:sz="8" w:space="0" w:color="BDD6EE"/>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b/>
                <w:bCs/>
                <w:sz w:val="12"/>
                <w:szCs w:val="12"/>
                <w:lang w:val="en-US"/>
              </w:rPr>
            </w:pPr>
            <w:r>
              <w:rPr>
                <w:rFonts w:ascii="Calibri" w:hAnsi="Calibri"/>
                <w:b/>
                <w:bCs/>
                <w:sz w:val="22"/>
                <w:szCs w:val="22"/>
                <w:lang w:val="en-US"/>
              </w:rPr>
              <w:t>HEAVY PATIENT - NEEDS MOVING INTO THE LIFT - OVER 20 STONE </w:t>
            </w:r>
          </w:p>
        </w:tc>
        <w:tc>
          <w:tcPr>
            <w:tcW w:w="2126"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04/01/2016 17:29 – 18:28 </w:t>
            </w:r>
          </w:p>
        </w:tc>
        <w:tc>
          <w:tcPr>
            <w:tcW w:w="3402" w:type="dxa"/>
            <w:tcBorders>
              <w:top w:val="nil"/>
              <w:left w:val="nil"/>
              <w:bottom w:val="single" w:sz="8" w:space="0" w:color="BDD6EE"/>
              <w:right w:val="single" w:sz="8" w:space="0" w:color="BDD6EE"/>
            </w:tcBorders>
            <w:hideMark/>
          </w:tcPr>
          <w:p w:rsidR="00A21720" w:rsidRDefault="00A21720">
            <w:pPr>
              <w:spacing w:before="100" w:beforeAutospacing="1" w:after="100" w:afterAutospacing="1"/>
              <w:textAlignment w:val="baseline"/>
              <w:rPr>
                <w:rFonts w:ascii="Segoe UI" w:hAnsi="Segoe UI" w:cs="Segoe UI"/>
                <w:sz w:val="12"/>
                <w:szCs w:val="12"/>
                <w:lang w:val="en-US"/>
              </w:rPr>
            </w:pPr>
            <w:r>
              <w:rPr>
                <w:rFonts w:ascii="Calibri" w:hAnsi="Calibri"/>
                <w:sz w:val="22"/>
                <w:szCs w:val="22"/>
                <w:lang w:val="en-US"/>
              </w:rPr>
              <w:t>3 appliances </w:t>
            </w:r>
          </w:p>
        </w:tc>
      </w:tr>
    </w:tbl>
    <w:p w:rsidR="00EC4009" w:rsidRDefault="00EC4009">
      <w:bookmarkStart w:id="0" w:name="_GoBack"/>
      <w:bookmarkEnd w:id="0"/>
    </w:p>
    <w:sectPr w:rsidR="00EC4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20"/>
    <w:rsid w:val="00A21720"/>
    <w:rsid w:val="00EC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9087-92D0-4D25-A20B-58E24E85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7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ropshirefire.gov.uk/sites/default/files/14-ann-review-of-charges-for-special-services-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2016-10-18T14:01:00Z</dcterms:created>
  <dcterms:modified xsi:type="dcterms:W3CDTF">2016-10-18T14:01:00Z</dcterms:modified>
</cp:coreProperties>
</file>