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A60" w:rsidRDefault="004D3A60" w:rsidP="004D3A60">
      <w:pPr>
        <w:rPr>
          <w:color w:val="1F497D"/>
        </w:rPr>
      </w:pPr>
      <w:r>
        <w:rPr>
          <w:color w:val="1F497D"/>
        </w:rPr>
        <w:t>Thank you for your Freedom of Information request. Please see below for the information requested:</w:t>
      </w:r>
    </w:p>
    <w:p w:rsidR="004D3A60" w:rsidRDefault="004D3A60" w:rsidP="004D3A60">
      <w:pPr>
        <w:rPr>
          <w:b/>
          <w:bCs/>
          <w:color w:val="1F497D"/>
        </w:rPr>
      </w:pPr>
    </w:p>
    <w:p w:rsidR="004D3A60" w:rsidRDefault="004D3A60" w:rsidP="004D3A60">
      <w:r>
        <w:t xml:space="preserve">1) How many people were employed by the fire and rescue service (headcount) in the following roles on 31 March 2016: </w:t>
      </w:r>
      <w:r>
        <w:rPr>
          <w:color w:val="1F4E79"/>
        </w:rPr>
        <w:t>This data is already published on the Government’s Fire Statistics Data Tables under ‘Workforce and workforce diversity’:   </w:t>
      </w:r>
      <w:hyperlink r:id="rId4" w:anchor="workforce-and-workforce-diversity" w:history="1">
        <w:r>
          <w:rPr>
            <w:rStyle w:val="Hyperlink"/>
          </w:rPr>
          <w:t>https://www.gov.uk/government/statistical-data-sets/fire-statistics-data-tables#workforce-and-workforce-diversity</w:t>
        </w:r>
      </w:hyperlink>
      <w:r>
        <w:t xml:space="preserve"> </w:t>
      </w:r>
    </w:p>
    <w:p w:rsidR="004D3A60" w:rsidRDefault="004D3A60" w:rsidP="004D3A60">
      <w:r>
        <w:rPr>
          <w:color w:val="1F4E79"/>
        </w:rPr>
        <w:t>The table below also contains the same data:</w:t>
      </w:r>
      <w:r>
        <w:t xml:space="preserve"> </w:t>
      </w:r>
    </w:p>
    <w:p w:rsidR="004D3A60" w:rsidRDefault="004D3A60" w:rsidP="004D3A60">
      <w:pPr>
        <w:rPr>
          <w:b/>
          <w:bCs/>
          <w:color w:val="1F497D"/>
        </w:rPr>
      </w:pPr>
    </w:p>
    <w:tbl>
      <w:tblPr>
        <w:tblW w:w="0" w:type="auto"/>
        <w:tblCellMar>
          <w:left w:w="0" w:type="dxa"/>
          <w:right w:w="0" w:type="dxa"/>
        </w:tblCellMar>
        <w:tblLook w:val="04A0" w:firstRow="1" w:lastRow="0" w:firstColumn="1" w:lastColumn="0" w:noHBand="0" w:noVBand="1"/>
      </w:tblPr>
      <w:tblGrid>
        <w:gridCol w:w="2220"/>
        <w:gridCol w:w="2217"/>
      </w:tblGrid>
      <w:tr w:rsidR="004D3A60" w:rsidTr="004D3A60">
        <w:tc>
          <w:tcPr>
            <w:tcW w:w="22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D3A60" w:rsidRDefault="004D3A60"/>
        </w:tc>
        <w:tc>
          <w:tcPr>
            <w:tcW w:w="221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4D3A60" w:rsidRDefault="004D3A60">
            <w:r>
              <w:t>Headcount</w:t>
            </w:r>
          </w:p>
        </w:tc>
      </w:tr>
      <w:tr w:rsidR="004D3A60" w:rsidTr="004D3A60">
        <w:tc>
          <w:tcPr>
            <w:tcW w:w="2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D3A60" w:rsidRDefault="004D3A60">
            <w:proofErr w:type="spellStart"/>
            <w:r>
              <w:t>Wholetime</w:t>
            </w:r>
            <w:proofErr w:type="spellEnd"/>
            <w:r>
              <w:t xml:space="preserve"> </w:t>
            </w:r>
          </w:p>
        </w:tc>
        <w:tc>
          <w:tcPr>
            <w:tcW w:w="2217" w:type="dxa"/>
            <w:tcBorders>
              <w:top w:val="nil"/>
              <w:left w:val="nil"/>
              <w:bottom w:val="single" w:sz="8" w:space="0" w:color="000000"/>
              <w:right w:val="single" w:sz="8" w:space="0" w:color="000000"/>
            </w:tcBorders>
            <w:tcMar>
              <w:top w:w="0" w:type="dxa"/>
              <w:left w:w="108" w:type="dxa"/>
              <w:bottom w:w="0" w:type="dxa"/>
              <w:right w:w="108" w:type="dxa"/>
            </w:tcMar>
            <w:hideMark/>
          </w:tcPr>
          <w:p w:rsidR="004D3A60" w:rsidRDefault="004D3A60">
            <w:pPr>
              <w:rPr>
                <w:color w:val="FF0000"/>
              </w:rPr>
            </w:pPr>
            <w:r>
              <w:rPr>
                <w:color w:val="FF0000"/>
              </w:rPr>
              <w:t>168</w:t>
            </w:r>
          </w:p>
        </w:tc>
      </w:tr>
      <w:tr w:rsidR="004D3A60" w:rsidTr="004D3A60">
        <w:tc>
          <w:tcPr>
            <w:tcW w:w="2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D3A60" w:rsidRDefault="004D3A60">
            <w:r>
              <w:t>Retained</w:t>
            </w:r>
          </w:p>
        </w:tc>
        <w:tc>
          <w:tcPr>
            <w:tcW w:w="2217" w:type="dxa"/>
            <w:tcBorders>
              <w:top w:val="nil"/>
              <w:left w:val="nil"/>
              <w:bottom w:val="single" w:sz="8" w:space="0" w:color="000000"/>
              <w:right w:val="single" w:sz="8" w:space="0" w:color="000000"/>
            </w:tcBorders>
            <w:tcMar>
              <w:top w:w="0" w:type="dxa"/>
              <w:left w:w="108" w:type="dxa"/>
              <w:bottom w:w="0" w:type="dxa"/>
              <w:right w:w="108" w:type="dxa"/>
            </w:tcMar>
            <w:hideMark/>
          </w:tcPr>
          <w:p w:rsidR="004D3A60" w:rsidRDefault="004D3A60">
            <w:pPr>
              <w:rPr>
                <w:color w:val="FF0000"/>
              </w:rPr>
            </w:pPr>
            <w:r>
              <w:rPr>
                <w:color w:val="FF0000"/>
              </w:rPr>
              <w:t>316</w:t>
            </w:r>
          </w:p>
        </w:tc>
      </w:tr>
      <w:tr w:rsidR="004D3A60" w:rsidTr="004D3A60">
        <w:tc>
          <w:tcPr>
            <w:tcW w:w="2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D3A60" w:rsidRDefault="004D3A60">
            <w:r>
              <w:t>Control</w:t>
            </w:r>
          </w:p>
        </w:tc>
        <w:tc>
          <w:tcPr>
            <w:tcW w:w="2217" w:type="dxa"/>
            <w:tcBorders>
              <w:top w:val="nil"/>
              <w:left w:val="nil"/>
              <w:bottom w:val="single" w:sz="8" w:space="0" w:color="000000"/>
              <w:right w:val="single" w:sz="8" w:space="0" w:color="000000"/>
            </w:tcBorders>
            <w:tcMar>
              <w:top w:w="0" w:type="dxa"/>
              <w:left w:w="108" w:type="dxa"/>
              <w:bottom w:w="0" w:type="dxa"/>
              <w:right w:w="108" w:type="dxa"/>
            </w:tcMar>
            <w:hideMark/>
          </w:tcPr>
          <w:p w:rsidR="004D3A60" w:rsidRDefault="004D3A60">
            <w:pPr>
              <w:rPr>
                <w:color w:val="FF0000"/>
              </w:rPr>
            </w:pPr>
            <w:r>
              <w:rPr>
                <w:color w:val="FF0000"/>
              </w:rPr>
              <w:t>18</w:t>
            </w:r>
          </w:p>
        </w:tc>
      </w:tr>
      <w:tr w:rsidR="004D3A60" w:rsidTr="004D3A60">
        <w:tc>
          <w:tcPr>
            <w:tcW w:w="2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D3A60" w:rsidRDefault="004D3A60">
            <w:r>
              <w:t>Support</w:t>
            </w:r>
          </w:p>
        </w:tc>
        <w:tc>
          <w:tcPr>
            <w:tcW w:w="2217" w:type="dxa"/>
            <w:tcBorders>
              <w:top w:val="nil"/>
              <w:left w:val="nil"/>
              <w:bottom w:val="single" w:sz="8" w:space="0" w:color="000000"/>
              <w:right w:val="single" w:sz="8" w:space="0" w:color="000000"/>
            </w:tcBorders>
            <w:tcMar>
              <w:top w:w="0" w:type="dxa"/>
              <w:left w:w="108" w:type="dxa"/>
              <w:bottom w:w="0" w:type="dxa"/>
              <w:right w:w="108" w:type="dxa"/>
            </w:tcMar>
            <w:hideMark/>
          </w:tcPr>
          <w:p w:rsidR="004D3A60" w:rsidRDefault="004D3A60">
            <w:pPr>
              <w:rPr>
                <w:color w:val="FF0000"/>
              </w:rPr>
            </w:pPr>
            <w:r>
              <w:rPr>
                <w:color w:val="FF0000"/>
              </w:rPr>
              <w:t>78</w:t>
            </w:r>
          </w:p>
        </w:tc>
      </w:tr>
      <w:tr w:rsidR="004D3A60" w:rsidTr="004D3A60">
        <w:tc>
          <w:tcPr>
            <w:tcW w:w="2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D3A60" w:rsidRDefault="004D3A60">
            <w:r>
              <w:t xml:space="preserve">Total </w:t>
            </w:r>
          </w:p>
        </w:tc>
        <w:tc>
          <w:tcPr>
            <w:tcW w:w="2217" w:type="dxa"/>
            <w:tcBorders>
              <w:top w:val="nil"/>
              <w:left w:val="nil"/>
              <w:bottom w:val="single" w:sz="8" w:space="0" w:color="000000"/>
              <w:right w:val="single" w:sz="8" w:space="0" w:color="000000"/>
            </w:tcBorders>
            <w:tcMar>
              <w:top w:w="0" w:type="dxa"/>
              <w:left w:w="108" w:type="dxa"/>
              <w:bottom w:w="0" w:type="dxa"/>
              <w:right w:w="108" w:type="dxa"/>
            </w:tcMar>
            <w:hideMark/>
          </w:tcPr>
          <w:p w:rsidR="004D3A60" w:rsidRDefault="004D3A60">
            <w:pPr>
              <w:rPr>
                <w:color w:val="FF0000"/>
              </w:rPr>
            </w:pPr>
            <w:r>
              <w:rPr>
                <w:color w:val="FF0000"/>
              </w:rPr>
              <w:t>580</w:t>
            </w:r>
          </w:p>
        </w:tc>
      </w:tr>
    </w:tbl>
    <w:p w:rsidR="004D3A60" w:rsidRDefault="004D3A60" w:rsidP="004D3A60">
      <w:pPr>
        <w:rPr>
          <w:b/>
          <w:bCs/>
          <w:color w:val="1F497D"/>
        </w:rPr>
      </w:pPr>
    </w:p>
    <w:p w:rsidR="004D3A60" w:rsidRDefault="004D3A60" w:rsidP="004D3A60">
      <w:r>
        <w:t xml:space="preserve">2) How many people were employed by the fire and rescue service (headcount) in the following roles on 31 March 2017: </w:t>
      </w:r>
      <w:r>
        <w:rPr>
          <w:color w:val="1F4E79"/>
        </w:rPr>
        <w:t>This data will be published on the Government’s Fire Statistics Data Tables this year, however please note that these figures have not yet been verified and may be subject to change:  </w:t>
      </w:r>
    </w:p>
    <w:p w:rsidR="004D3A60" w:rsidRDefault="004D3A60" w:rsidP="004D3A60"/>
    <w:tbl>
      <w:tblPr>
        <w:tblW w:w="0" w:type="auto"/>
        <w:tblCellMar>
          <w:left w:w="0" w:type="dxa"/>
          <w:right w:w="0" w:type="dxa"/>
        </w:tblCellMar>
        <w:tblLook w:val="04A0" w:firstRow="1" w:lastRow="0" w:firstColumn="1" w:lastColumn="0" w:noHBand="0" w:noVBand="1"/>
      </w:tblPr>
      <w:tblGrid>
        <w:gridCol w:w="2174"/>
        <w:gridCol w:w="2171"/>
      </w:tblGrid>
      <w:tr w:rsidR="004D3A60" w:rsidTr="004D3A60">
        <w:tc>
          <w:tcPr>
            <w:tcW w:w="21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D3A60" w:rsidRDefault="004D3A60"/>
        </w:tc>
        <w:tc>
          <w:tcPr>
            <w:tcW w:w="217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4D3A60" w:rsidRDefault="004D3A60">
            <w:r>
              <w:t>Headcount</w:t>
            </w:r>
          </w:p>
        </w:tc>
      </w:tr>
      <w:tr w:rsidR="004D3A60" w:rsidTr="004D3A60">
        <w:tc>
          <w:tcPr>
            <w:tcW w:w="217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D3A60" w:rsidRDefault="004D3A60">
            <w:proofErr w:type="spellStart"/>
            <w:r>
              <w:t>Wholetime</w:t>
            </w:r>
            <w:proofErr w:type="spellEnd"/>
            <w:r>
              <w:t xml:space="preserve"> </w:t>
            </w:r>
          </w:p>
        </w:tc>
        <w:tc>
          <w:tcPr>
            <w:tcW w:w="2171" w:type="dxa"/>
            <w:tcBorders>
              <w:top w:val="nil"/>
              <w:left w:val="nil"/>
              <w:bottom w:val="single" w:sz="8" w:space="0" w:color="000000"/>
              <w:right w:val="single" w:sz="8" w:space="0" w:color="000000"/>
            </w:tcBorders>
            <w:tcMar>
              <w:top w:w="0" w:type="dxa"/>
              <w:left w:w="108" w:type="dxa"/>
              <w:bottom w:w="0" w:type="dxa"/>
              <w:right w:w="108" w:type="dxa"/>
            </w:tcMar>
            <w:hideMark/>
          </w:tcPr>
          <w:p w:rsidR="004D3A60" w:rsidRDefault="004D3A60">
            <w:pPr>
              <w:rPr>
                <w:color w:val="FF0000"/>
              </w:rPr>
            </w:pPr>
            <w:r>
              <w:rPr>
                <w:color w:val="FF0000"/>
              </w:rPr>
              <w:t>179</w:t>
            </w:r>
          </w:p>
        </w:tc>
      </w:tr>
      <w:tr w:rsidR="004D3A60" w:rsidTr="004D3A60">
        <w:tc>
          <w:tcPr>
            <w:tcW w:w="217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D3A60" w:rsidRDefault="004D3A60">
            <w:r>
              <w:t>Retained</w:t>
            </w:r>
          </w:p>
        </w:tc>
        <w:tc>
          <w:tcPr>
            <w:tcW w:w="2171" w:type="dxa"/>
            <w:tcBorders>
              <w:top w:val="nil"/>
              <w:left w:val="nil"/>
              <w:bottom w:val="single" w:sz="8" w:space="0" w:color="000000"/>
              <w:right w:val="single" w:sz="8" w:space="0" w:color="000000"/>
            </w:tcBorders>
            <w:tcMar>
              <w:top w:w="0" w:type="dxa"/>
              <w:left w:w="108" w:type="dxa"/>
              <w:bottom w:w="0" w:type="dxa"/>
              <w:right w:w="108" w:type="dxa"/>
            </w:tcMar>
            <w:hideMark/>
          </w:tcPr>
          <w:p w:rsidR="004D3A60" w:rsidRDefault="004D3A60">
            <w:pPr>
              <w:rPr>
                <w:color w:val="FF0000"/>
              </w:rPr>
            </w:pPr>
            <w:r>
              <w:rPr>
                <w:color w:val="FF0000"/>
              </w:rPr>
              <w:t>333</w:t>
            </w:r>
          </w:p>
        </w:tc>
      </w:tr>
      <w:tr w:rsidR="004D3A60" w:rsidTr="004D3A60">
        <w:tc>
          <w:tcPr>
            <w:tcW w:w="217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D3A60" w:rsidRDefault="004D3A60">
            <w:r>
              <w:t>Control</w:t>
            </w:r>
          </w:p>
        </w:tc>
        <w:tc>
          <w:tcPr>
            <w:tcW w:w="2171" w:type="dxa"/>
            <w:tcBorders>
              <w:top w:val="nil"/>
              <w:left w:val="nil"/>
              <w:bottom w:val="single" w:sz="8" w:space="0" w:color="000000"/>
              <w:right w:val="single" w:sz="8" w:space="0" w:color="000000"/>
            </w:tcBorders>
            <w:tcMar>
              <w:top w:w="0" w:type="dxa"/>
              <w:left w:w="108" w:type="dxa"/>
              <w:bottom w:w="0" w:type="dxa"/>
              <w:right w:w="108" w:type="dxa"/>
            </w:tcMar>
            <w:hideMark/>
          </w:tcPr>
          <w:p w:rsidR="004D3A60" w:rsidRDefault="004D3A60">
            <w:pPr>
              <w:rPr>
                <w:color w:val="FF0000"/>
              </w:rPr>
            </w:pPr>
            <w:r>
              <w:rPr>
                <w:color w:val="FF0000"/>
              </w:rPr>
              <w:t>19</w:t>
            </w:r>
          </w:p>
        </w:tc>
      </w:tr>
      <w:tr w:rsidR="004D3A60" w:rsidTr="004D3A60">
        <w:tc>
          <w:tcPr>
            <w:tcW w:w="217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D3A60" w:rsidRDefault="004D3A60">
            <w:r>
              <w:t>Support</w:t>
            </w:r>
          </w:p>
        </w:tc>
        <w:tc>
          <w:tcPr>
            <w:tcW w:w="2171" w:type="dxa"/>
            <w:tcBorders>
              <w:top w:val="nil"/>
              <w:left w:val="nil"/>
              <w:bottom w:val="single" w:sz="8" w:space="0" w:color="000000"/>
              <w:right w:val="single" w:sz="8" w:space="0" w:color="000000"/>
            </w:tcBorders>
            <w:tcMar>
              <w:top w:w="0" w:type="dxa"/>
              <w:left w:w="108" w:type="dxa"/>
              <w:bottom w:w="0" w:type="dxa"/>
              <w:right w:w="108" w:type="dxa"/>
            </w:tcMar>
            <w:hideMark/>
          </w:tcPr>
          <w:p w:rsidR="004D3A60" w:rsidRDefault="004D3A60">
            <w:pPr>
              <w:rPr>
                <w:color w:val="FF0000"/>
              </w:rPr>
            </w:pPr>
            <w:r>
              <w:rPr>
                <w:color w:val="FF0000"/>
              </w:rPr>
              <w:t>79</w:t>
            </w:r>
          </w:p>
        </w:tc>
      </w:tr>
      <w:tr w:rsidR="004D3A60" w:rsidTr="004D3A60">
        <w:tc>
          <w:tcPr>
            <w:tcW w:w="217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D3A60" w:rsidRDefault="004D3A60">
            <w:r>
              <w:t xml:space="preserve">Total </w:t>
            </w:r>
          </w:p>
        </w:tc>
        <w:tc>
          <w:tcPr>
            <w:tcW w:w="2171" w:type="dxa"/>
            <w:tcBorders>
              <w:top w:val="nil"/>
              <w:left w:val="nil"/>
              <w:bottom w:val="single" w:sz="8" w:space="0" w:color="000000"/>
              <w:right w:val="single" w:sz="8" w:space="0" w:color="000000"/>
            </w:tcBorders>
            <w:tcMar>
              <w:top w:w="0" w:type="dxa"/>
              <w:left w:w="108" w:type="dxa"/>
              <w:bottom w:w="0" w:type="dxa"/>
              <w:right w:w="108" w:type="dxa"/>
            </w:tcMar>
            <w:hideMark/>
          </w:tcPr>
          <w:p w:rsidR="004D3A60" w:rsidRDefault="004D3A60">
            <w:r>
              <w:rPr>
                <w:color w:val="FF0000"/>
              </w:rPr>
              <w:t>610</w:t>
            </w:r>
          </w:p>
        </w:tc>
      </w:tr>
    </w:tbl>
    <w:p w:rsidR="00E21028" w:rsidRDefault="00E21028">
      <w:bookmarkStart w:id="0" w:name="_GoBack"/>
      <w:bookmarkEnd w:id="0"/>
    </w:p>
    <w:sectPr w:rsidR="00E210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A60"/>
    <w:rsid w:val="004D3A60"/>
    <w:rsid w:val="00E210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AB5285-3B70-49BD-94EC-6657291C5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A6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3A6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70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v.uk/government/statistical-data-sets/fire-statistics-data-tab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Bray</dc:creator>
  <cp:keywords/>
  <dc:description/>
  <cp:lastModifiedBy>Emily Bray</cp:lastModifiedBy>
  <cp:revision>1</cp:revision>
  <dcterms:created xsi:type="dcterms:W3CDTF">2017-05-02T15:12:00Z</dcterms:created>
  <dcterms:modified xsi:type="dcterms:W3CDTF">2017-05-02T15:12:00Z</dcterms:modified>
</cp:coreProperties>
</file>